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74A2" w14:textId="77D511F5" w:rsidR="00340882" w:rsidRDefault="003C7229" w:rsidP="003A4CE1">
      <w:pPr>
        <w:jc w:val="center"/>
        <w:rPr>
          <w:rFonts w:ascii="Times New Roman" w:hAnsi="Times New Roman" w:cs="Times New Roman"/>
          <w:b/>
          <w:bCs/>
          <w:sz w:val="20"/>
          <w:szCs w:val="20"/>
        </w:rPr>
      </w:pPr>
      <w:r w:rsidRPr="003A4CE1">
        <w:rPr>
          <w:rFonts w:ascii="Times New Roman" w:hAnsi="Times New Roman" w:cs="Times New Roman"/>
          <w:b/>
          <w:bCs/>
          <w:sz w:val="20"/>
          <w:szCs w:val="20"/>
        </w:rPr>
        <w:t xml:space="preserve">Infraestructura </w:t>
      </w:r>
      <w:r w:rsidR="00160A34" w:rsidRPr="003A4CE1">
        <w:rPr>
          <w:rFonts w:ascii="Times New Roman" w:hAnsi="Times New Roman" w:cs="Times New Roman"/>
          <w:b/>
          <w:bCs/>
          <w:sz w:val="20"/>
          <w:szCs w:val="20"/>
        </w:rPr>
        <w:t xml:space="preserve">y estado </w:t>
      </w:r>
      <w:r w:rsidR="00340882" w:rsidRPr="003A4CE1">
        <w:rPr>
          <w:rFonts w:ascii="Times New Roman" w:hAnsi="Times New Roman" w:cs="Times New Roman"/>
          <w:b/>
          <w:bCs/>
          <w:sz w:val="20"/>
          <w:szCs w:val="20"/>
        </w:rPr>
        <w:t>de la red férrea nacional</w:t>
      </w:r>
    </w:p>
    <w:p w14:paraId="441ED91E" w14:textId="77777777" w:rsidR="003A4CE1" w:rsidRPr="003A4CE1" w:rsidRDefault="003A4CE1" w:rsidP="003A4CE1">
      <w:pPr>
        <w:jc w:val="center"/>
        <w:rPr>
          <w:rFonts w:ascii="Times New Roman" w:hAnsi="Times New Roman" w:cs="Times New Roman"/>
          <w:b/>
          <w:bCs/>
          <w:sz w:val="20"/>
          <w:szCs w:val="20"/>
        </w:rPr>
      </w:pPr>
    </w:p>
    <w:p w14:paraId="717B9170" w14:textId="5ECB2DF2" w:rsidR="00385BF1" w:rsidRDefault="00385BF1" w:rsidP="003A4CE1">
      <w:pPr>
        <w:jc w:val="both"/>
        <w:rPr>
          <w:rFonts w:ascii="Times New Roman" w:hAnsi="Times New Roman" w:cs="Times New Roman"/>
          <w:sz w:val="20"/>
          <w:szCs w:val="20"/>
        </w:rPr>
      </w:pPr>
      <w:r w:rsidRPr="003A4CE1">
        <w:rPr>
          <w:rFonts w:ascii="Times New Roman" w:hAnsi="Times New Roman" w:cs="Times New Roman"/>
          <w:sz w:val="20"/>
          <w:szCs w:val="20"/>
        </w:rPr>
        <w:t xml:space="preserve">La red férrea de la nación está comprendida por unos recorridos que en total comprenden una distancia de aproximadamente 3.533 </w:t>
      </w:r>
      <w:r w:rsidR="003A4CE1" w:rsidRPr="003A4CE1">
        <w:rPr>
          <w:rFonts w:ascii="Times New Roman" w:hAnsi="Times New Roman" w:cs="Times New Roman"/>
          <w:sz w:val="20"/>
          <w:szCs w:val="20"/>
        </w:rPr>
        <w:t>kilómetros</w:t>
      </w:r>
      <w:r w:rsidRPr="003A4CE1">
        <w:rPr>
          <w:rFonts w:ascii="Times New Roman" w:hAnsi="Times New Roman" w:cs="Times New Roman"/>
          <w:sz w:val="20"/>
          <w:szCs w:val="20"/>
        </w:rPr>
        <w:t>, su estructura se destaca por su relación complementaria con otros modos de transporte como lo son los modos carretero y fluvial. Desafortunadamente gran parte de la estructura férrea posee problemas y se encuentra inactiva debido a falta de mantenimiento y rehabilitación.</w:t>
      </w:r>
    </w:p>
    <w:p w14:paraId="33AE96E6" w14:textId="77777777" w:rsidR="003A4CE1" w:rsidRPr="003A4CE1" w:rsidRDefault="003A4CE1" w:rsidP="003A4CE1">
      <w:pPr>
        <w:jc w:val="both"/>
        <w:rPr>
          <w:rFonts w:ascii="Times New Roman" w:hAnsi="Times New Roman" w:cs="Times New Roman"/>
          <w:sz w:val="20"/>
          <w:szCs w:val="20"/>
        </w:rPr>
      </w:pPr>
    </w:p>
    <w:p w14:paraId="0EB8E879" w14:textId="4BDFC44E" w:rsidR="00385BF1" w:rsidRDefault="00385BF1" w:rsidP="003A4CE1">
      <w:pPr>
        <w:jc w:val="both"/>
        <w:rPr>
          <w:rFonts w:ascii="Times New Roman" w:hAnsi="Times New Roman" w:cs="Times New Roman"/>
          <w:sz w:val="20"/>
          <w:szCs w:val="20"/>
        </w:rPr>
      </w:pPr>
      <w:r w:rsidRPr="003A4CE1">
        <w:rPr>
          <w:rFonts w:ascii="Times New Roman" w:hAnsi="Times New Roman" w:cs="Times New Roman"/>
          <w:sz w:val="20"/>
          <w:szCs w:val="20"/>
        </w:rPr>
        <w:t xml:space="preserve">A </w:t>
      </w:r>
      <w:r w:rsidR="003A4CE1" w:rsidRPr="003A4CE1">
        <w:rPr>
          <w:rFonts w:ascii="Times New Roman" w:hAnsi="Times New Roman" w:cs="Times New Roman"/>
          <w:sz w:val="20"/>
          <w:szCs w:val="20"/>
        </w:rPr>
        <w:t>continuación,</w:t>
      </w:r>
      <w:r w:rsidRPr="003A4CE1">
        <w:rPr>
          <w:rFonts w:ascii="Times New Roman" w:hAnsi="Times New Roman" w:cs="Times New Roman"/>
          <w:sz w:val="20"/>
          <w:szCs w:val="20"/>
        </w:rPr>
        <w:t xml:space="preserve"> se plantea el estado de la infraestructura férrea que comprende tres recorridos, la red del Atlántico, la red Central y la red del Pacífico.</w:t>
      </w:r>
    </w:p>
    <w:p w14:paraId="627ABA80" w14:textId="77777777" w:rsidR="003A4CE1" w:rsidRPr="003A4CE1" w:rsidRDefault="003A4CE1" w:rsidP="003A4CE1">
      <w:pPr>
        <w:jc w:val="both"/>
        <w:rPr>
          <w:rFonts w:ascii="Times New Roman" w:hAnsi="Times New Roman" w:cs="Times New Roman"/>
          <w:sz w:val="20"/>
          <w:szCs w:val="20"/>
        </w:rPr>
      </w:pPr>
    </w:p>
    <w:p w14:paraId="00000001" w14:textId="7E6BF111" w:rsidR="00E73343" w:rsidRPr="003A4CE1" w:rsidRDefault="004A3B6D" w:rsidP="003A4CE1">
      <w:pPr>
        <w:jc w:val="both"/>
        <w:rPr>
          <w:rFonts w:ascii="Times New Roman" w:hAnsi="Times New Roman" w:cs="Times New Roman"/>
          <w:b/>
          <w:bCs/>
          <w:sz w:val="20"/>
          <w:szCs w:val="20"/>
        </w:rPr>
      </w:pPr>
      <w:r w:rsidRPr="003A4CE1">
        <w:rPr>
          <w:rFonts w:ascii="Times New Roman" w:hAnsi="Times New Roman" w:cs="Times New Roman"/>
          <w:b/>
          <w:bCs/>
          <w:sz w:val="20"/>
          <w:szCs w:val="20"/>
        </w:rPr>
        <w:t xml:space="preserve">Ruta del </w:t>
      </w:r>
      <w:r w:rsidR="00385BF1" w:rsidRPr="003A4CE1">
        <w:rPr>
          <w:rFonts w:ascii="Times New Roman" w:hAnsi="Times New Roman" w:cs="Times New Roman"/>
          <w:b/>
          <w:bCs/>
          <w:sz w:val="20"/>
          <w:szCs w:val="20"/>
        </w:rPr>
        <w:t>A</w:t>
      </w:r>
      <w:r w:rsidRPr="003A4CE1">
        <w:rPr>
          <w:rFonts w:ascii="Times New Roman" w:hAnsi="Times New Roman" w:cs="Times New Roman"/>
          <w:b/>
          <w:bCs/>
          <w:sz w:val="20"/>
          <w:szCs w:val="20"/>
        </w:rPr>
        <w:t xml:space="preserve">tlántico: </w:t>
      </w:r>
    </w:p>
    <w:p w14:paraId="00000002" w14:textId="6FB3D290" w:rsidR="00E73343" w:rsidRPr="003A4CE1" w:rsidRDefault="004A3B6D" w:rsidP="003A4CE1">
      <w:pPr>
        <w:numPr>
          <w:ilvl w:val="0"/>
          <w:numId w:val="1"/>
        </w:numPr>
        <w:jc w:val="both"/>
        <w:rPr>
          <w:rFonts w:ascii="Times New Roman" w:hAnsi="Times New Roman" w:cs="Times New Roman"/>
          <w:sz w:val="20"/>
          <w:szCs w:val="20"/>
        </w:rPr>
      </w:pPr>
      <w:r w:rsidRPr="003A4CE1">
        <w:rPr>
          <w:rFonts w:ascii="Times New Roman" w:hAnsi="Times New Roman" w:cs="Times New Roman"/>
          <w:sz w:val="20"/>
          <w:szCs w:val="20"/>
        </w:rPr>
        <w:t xml:space="preserve">El recorrido </w:t>
      </w:r>
      <w:r w:rsidR="003A4CE1" w:rsidRPr="003A4CE1">
        <w:rPr>
          <w:rFonts w:ascii="Times New Roman" w:hAnsi="Times New Roman" w:cs="Times New Roman"/>
          <w:sz w:val="20"/>
          <w:szCs w:val="20"/>
        </w:rPr>
        <w:t>Chiriguaná</w:t>
      </w:r>
      <w:r w:rsidRPr="003A4CE1">
        <w:rPr>
          <w:rFonts w:ascii="Times New Roman" w:hAnsi="Times New Roman" w:cs="Times New Roman"/>
          <w:sz w:val="20"/>
          <w:szCs w:val="20"/>
        </w:rPr>
        <w:t xml:space="preserve"> - La Loma - Ciénaga de 207 km que conforma gran parte de la red de la ruta del atlántico por el momento se encuentra en concesión por FENOCO al igual que el recorrido de la Ciénaga - Santa Marta. Que está conformada por 38 km de vía férrea lista para su respectivo uso. con el potencial de comunicar el centro del país con la Costa Atlántica. </w:t>
      </w:r>
    </w:p>
    <w:p w14:paraId="105CA178" w14:textId="77777777" w:rsidR="003803FF" w:rsidRPr="003A4CE1" w:rsidRDefault="004A3B6D" w:rsidP="003A4CE1">
      <w:pPr>
        <w:jc w:val="both"/>
        <w:rPr>
          <w:rFonts w:ascii="Times New Roman" w:hAnsi="Times New Roman" w:cs="Times New Roman"/>
          <w:b/>
          <w:bCs/>
          <w:sz w:val="20"/>
          <w:szCs w:val="20"/>
        </w:rPr>
      </w:pPr>
      <w:r w:rsidRPr="003A4CE1">
        <w:rPr>
          <w:rFonts w:ascii="Times New Roman" w:hAnsi="Times New Roman" w:cs="Times New Roman"/>
          <w:b/>
          <w:bCs/>
          <w:sz w:val="20"/>
          <w:szCs w:val="20"/>
        </w:rPr>
        <w:t xml:space="preserve"> </w:t>
      </w:r>
      <w:r w:rsidR="00385BF1" w:rsidRPr="003A4CE1">
        <w:rPr>
          <w:rFonts w:ascii="Times New Roman" w:hAnsi="Times New Roman" w:cs="Times New Roman"/>
          <w:b/>
          <w:bCs/>
          <w:sz w:val="20"/>
          <w:szCs w:val="20"/>
        </w:rPr>
        <w:t>R</w:t>
      </w:r>
      <w:r w:rsidRPr="003A4CE1">
        <w:rPr>
          <w:rFonts w:ascii="Times New Roman" w:hAnsi="Times New Roman" w:cs="Times New Roman"/>
          <w:b/>
          <w:bCs/>
          <w:sz w:val="20"/>
          <w:szCs w:val="20"/>
        </w:rPr>
        <w:t xml:space="preserve">uta del </w:t>
      </w:r>
      <w:r w:rsidR="00385BF1" w:rsidRPr="003A4CE1">
        <w:rPr>
          <w:rFonts w:ascii="Times New Roman" w:hAnsi="Times New Roman" w:cs="Times New Roman"/>
          <w:b/>
          <w:bCs/>
          <w:sz w:val="20"/>
          <w:szCs w:val="20"/>
        </w:rPr>
        <w:t>P</w:t>
      </w:r>
      <w:r w:rsidRPr="003A4CE1">
        <w:rPr>
          <w:rFonts w:ascii="Times New Roman" w:hAnsi="Times New Roman" w:cs="Times New Roman"/>
          <w:b/>
          <w:bCs/>
          <w:sz w:val="20"/>
          <w:szCs w:val="20"/>
        </w:rPr>
        <w:t>ac</w:t>
      </w:r>
      <w:r w:rsidR="003803FF" w:rsidRPr="003A4CE1">
        <w:rPr>
          <w:rFonts w:ascii="Times New Roman" w:hAnsi="Times New Roman" w:cs="Times New Roman"/>
          <w:b/>
          <w:bCs/>
          <w:sz w:val="20"/>
          <w:szCs w:val="20"/>
        </w:rPr>
        <w:t>í</w:t>
      </w:r>
      <w:r w:rsidRPr="003A4CE1">
        <w:rPr>
          <w:rFonts w:ascii="Times New Roman" w:hAnsi="Times New Roman" w:cs="Times New Roman"/>
          <w:b/>
          <w:bCs/>
          <w:sz w:val="20"/>
          <w:szCs w:val="20"/>
        </w:rPr>
        <w:t>fico</w:t>
      </w:r>
      <w:r w:rsidR="00385BF1" w:rsidRPr="003A4CE1">
        <w:rPr>
          <w:rFonts w:ascii="Times New Roman" w:hAnsi="Times New Roman" w:cs="Times New Roman"/>
          <w:b/>
          <w:bCs/>
          <w:sz w:val="20"/>
          <w:szCs w:val="20"/>
        </w:rPr>
        <w:t xml:space="preserve">: </w:t>
      </w:r>
    </w:p>
    <w:p w14:paraId="4E8CB6DA" w14:textId="77777777" w:rsidR="003803FF" w:rsidRPr="003A4CE1" w:rsidRDefault="004A3B6D" w:rsidP="003A4CE1">
      <w:pPr>
        <w:pStyle w:val="Prrafodelista"/>
        <w:numPr>
          <w:ilvl w:val="0"/>
          <w:numId w:val="10"/>
        </w:numPr>
        <w:jc w:val="both"/>
        <w:rPr>
          <w:rFonts w:ascii="Times New Roman" w:hAnsi="Times New Roman" w:cs="Times New Roman"/>
          <w:sz w:val="20"/>
          <w:szCs w:val="20"/>
        </w:rPr>
      </w:pPr>
      <w:r w:rsidRPr="003A4CE1">
        <w:rPr>
          <w:rFonts w:ascii="Times New Roman" w:hAnsi="Times New Roman" w:cs="Times New Roman"/>
          <w:sz w:val="20"/>
          <w:szCs w:val="20"/>
        </w:rPr>
        <w:t>La ruta de (La Felisa- Buenaventura)</w:t>
      </w:r>
    </w:p>
    <w:p w14:paraId="00000005" w14:textId="17AFCE5E" w:rsidR="00E73343" w:rsidRPr="003A4CE1" w:rsidRDefault="004A3B6D" w:rsidP="003A4CE1">
      <w:pPr>
        <w:pStyle w:val="Prrafodelista"/>
        <w:numPr>
          <w:ilvl w:val="0"/>
          <w:numId w:val="10"/>
        </w:numPr>
        <w:jc w:val="both"/>
        <w:rPr>
          <w:rFonts w:ascii="Times New Roman" w:hAnsi="Times New Roman" w:cs="Times New Roman"/>
          <w:sz w:val="20"/>
          <w:szCs w:val="20"/>
        </w:rPr>
      </w:pPr>
      <w:r w:rsidRPr="003A4CE1">
        <w:rPr>
          <w:rFonts w:ascii="Times New Roman" w:hAnsi="Times New Roman" w:cs="Times New Roman"/>
          <w:sz w:val="20"/>
          <w:szCs w:val="20"/>
        </w:rPr>
        <w:t>La ruta de (zarzal - La Tebaida).</w:t>
      </w:r>
    </w:p>
    <w:p w14:paraId="00000006" w14:textId="60A1C08B" w:rsidR="00E73343" w:rsidRPr="003A4CE1" w:rsidRDefault="004A3B6D" w:rsidP="003A4CE1">
      <w:pPr>
        <w:ind w:left="360"/>
        <w:jc w:val="both"/>
        <w:rPr>
          <w:rFonts w:ascii="Times New Roman" w:hAnsi="Times New Roman" w:cs="Times New Roman"/>
          <w:sz w:val="20"/>
          <w:szCs w:val="20"/>
        </w:rPr>
      </w:pPr>
      <w:r w:rsidRPr="003A4CE1">
        <w:rPr>
          <w:rFonts w:ascii="Times New Roman" w:hAnsi="Times New Roman" w:cs="Times New Roman"/>
          <w:sz w:val="20"/>
          <w:szCs w:val="20"/>
        </w:rPr>
        <w:t>Está siendo administrado por la Agencia Nacional de Infraestructura. Actualmente tiene el potencial de conectar gran parte de la carga movilizada por el puerto de Buenaventura y de conectar los departamentos de Caldas, Quindío, Risaralda y Valle del Cauca.</w:t>
      </w:r>
    </w:p>
    <w:p w14:paraId="00000007" w14:textId="3E9EE061" w:rsidR="00E73343" w:rsidRPr="003A4CE1" w:rsidRDefault="003803FF" w:rsidP="003A4CE1">
      <w:pPr>
        <w:pStyle w:val="Prrafodelista"/>
        <w:ind w:left="0"/>
        <w:jc w:val="both"/>
        <w:rPr>
          <w:rFonts w:ascii="Times New Roman" w:hAnsi="Times New Roman" w:cs="Times New Roman"/>
          <w:b/>
          <w:bCs/>
          <w:sz w:val="20"/>
          <w:szCs w:val="20"/>
        </w:rPr>
      </w:pPr>
      <w:r w:rsidRPr="003A4CE1">
        <w:rPr>
          <w:rFonts w:ascii="Times New Roman" w:hAnsi="Times New Roman" w:cs="Times New Roman"/>
          <w:b/>
          <w:bCs/>
          <w:sz w:val="20"/>
          <w:szCs w:val="20"/>
        </w:rPr>
        <w:t>R</w:t>
      </w:r>
      <w:r w:rsidR="008D59F3" w:rsidRPr="003A4CE1">
        <w:rPr>
          <w:rFonts w:ascii="Times New Roman" w:hAnsi="Times New Roman" w:cs="Times New Roman"/>
          <w:b/>
          <w:bCs/>
          <w:sz w:val="20"/>
          <w:szCs w:val="20"/>
        </w:rPr>
        <w:t xml:space="preserve">uta </w:t>
      </w:r>
      <w:r w:rsidRPr="003A4CE1">
        <w:rPr>
          <w:rFonts w:ascii="Times New Roman" w:hAnsi="Times New Roman" w:cs="Times New Roman"/>
          <w:b/>
          <w:bCs/>
          <w:sz w:val="20"/>
          <w:szCs w:val="20"/>
        </w:rPr>
        <w:t>C</w:t>
      </w:r>
      <w:r w:rsidR="008D59F3" w:rsidRPr="003A4CE1">
        <w:rPr>
          <w:rFonts w:ascii="Times New Roman" w:hAnsi="Times New Roman" w:cs="Times New Roman"/>
          <w:b/>
          <w:bCs/>
          <w:sz w:val="20"/>
          <w:szCs w:val="20"/>
        </w:rPr>
        <w:t>entral</w:t>
      </w:r>
      <w:r w:rsidR="00846AB1" w:rsidRPr="003A4CE1">
        <w:rPr>
          <w:rFonts w:ascii="Times New Roman" w:hAnsi="Times New Roman" w:cs="Times New Roman"/>
          <w:b/>
          <w:bCs/>
          <w:sz w:val="20"/>
          <w:szCs w:val="20"/>
        </w:rPr>
        <w:t>:</w:t>
      </w:r>
    </w:p>
    <w:p w14:paraId="1F868A0E" w14:textId="1585B44E" w:rsidR="00846AB1" w:rsidRPr="003A4CE1" w:rsidRDefault="000F1C87" w:rsidP="003A4CE1">
      <w:pPr>
        <w:pStyle w:val="Prrafodelista"/>
        <w:numPr>
          <w:ilvl w:val="1"/>
          <w:numId w:val="8"/>
        </w:numPr>
        <w:ind w:left="720"/>
        <w:jc w:val="both"/>
        <w:rPr>
          <w:rFonts w:ascii="Times New Roman" w:hAnsi="Times New Roman" w:cs="Times New Roman"/>
          <w:sz w:val="20"/>
          <w:szCs w:val="20"/>
        </w:rPr>
      </w:pPr>
      <w:r w:rsidRPr="003A4CE1">
        <w:rPr>
          <w:rFonts w:ascii="Times New Roman" w:hAnsi="Times New Roman" w:cs="Times New Roman"/>
          <w:sz w:val="20"/>
          <w:szCs w:val="20"/>
        </w:rPr>
        <w:t>L</w:t>
      </w:r>
      <w:r w:rsidR="00621596" w:rsidRPr="003A4CE1">
        <w:rPr>
          <w:rFonts w:ascii="Times New Roman" w:hAnsi="Times New Roman" w:cs="Times New Roman"/>
          <w:sz w:val="20"/>
          <w:szCs w:val="20"/>
        </w:rPr>
        <w:t>a</w:t>
      </w:r>
      <w:r w:rsidRPr="003A4CE1">
        <w:rPr>
          <w:rFonts w:ascii="Times New Roman" w:hAnsi="Times New Roman" w:cs="Times New Roman"/>
          <w:sz w:val="20"/>
          <w:szCs w:val="20"/>
        </w:rPr>
        <w:t xml:space="preserve"> ruta de</w:t>
      </w:r>
      <w:r w:rsidR="00621596" w:rsidRPr="003A4CE1">
        <w:rPr>
          <w:rFonts w:ascii="Times New Roman" w:hAnsi="Times New Roman" w:cs="Times New Roman"/>
          <w:sz w:val="20"/>
          <w:szCs w:val="20"/>
        </w:rPr>
        <w:t xml:space="preserve">: </w:t>
      </w:r>
      <w:r w:rsidR="0026468C" w:rsidRPr="003A4CE1">
        <w:rPr>
          <w:rFonts w:ascii="Times New Roman" w:hAnsi="Times New Roman" w:cs="Times New Roman"/>
          <w:sz w:val="20"/>
          <w:szCs w:val="20"/>
        </w:rPr>
        <w:t>La dorada – Puerto Berrio</w:t>
      </w:r>
      <w:r w:rsidR="009C5DD0" w:rsidRPr="003A4CE1">
        <w:rPr>
          <w:rFonts w:ascii="Times New Roman" w:hAnsi="Times New Roman" w:cs="Times New Roman"/>
          <w:sz w:val="20"/>
          <w:szCs w:val="20"/>
        </w:rPr>
        <w:t xml:space="preserve"> (</w:t>
      </w:r>
      <w:r w:rsidR="00654E92" w:rsidRPr="003A4CE1">
        <w:rPr>
          <w:rFonts w:ascii="Times New Roman" w:hAnsi="Times New Roman" w:cs="Times New Roman"/>
          <w:sz w:val="20"/>
          <w:szCs w:val="20"/>
        </w:rPr>
        <w:t xml:space="preserve">126.50 km) </w:t>
      </w:r>
    </w:p>
    <w:p w14:paraId="1E00E5C1" w14:textId="1B42416A" w:rsidR="00654E92" w:rsidRPr="003A4CE1" w:rsidRDefault="00621596" w:rsidP="003A4CE1">
      <w:pPr>
        <w:pStyle w:val="Prrafodelista"/>
        <w:numPr>
          <w:ilvl w:val="1"/>
          <w:numId w:val="8"/>
        </w:numPr>
        <w:ind w:left="720"/>
        <w:jc w:val="both"/>
        <w:rPr>
          <w:rFonts w:ascii="Times New Roman" w:hAnsi="Times New Roman" w:cs="Times New Roman"/>
          <w:sz w:val="20"/>
          <w:szCs w:val="20"/>
        </w:rPr>
      </w:pPr>
      <w:r w:rsidRPr="003A4CE1">
        <w:rPr>
          <w:rFonts w:ascii="Times New Roman" w:hAnsi="Times New Roman" w:cs="Times New Roman"/>
          <w:sz w:val="20"/>
          <w:szCs w:val="20"/>
        </w:rPr>
        <w:t xml:space="preserve">La ruta de: </w:t>
      </w:r>
      <w:r w:rsidR="00F53BB3" w:rsidRPr="003A4CE1">
        <w:rPr>
          <w:rFonts w:ascii="Times New Roman" w:hAnsi="Times New Roman" w:cs="Times New Roman"/>
          <w:sz w:val="20"/>
          <w:szCs w:val="20"/>
        </w:rPr>
        <w:t>Puerto Berrio – San Rafael (</w:t>
      </w:r>
      <w:r w:rsidR="00093761" w:rsidRPr="003A4CE1">
        <w:rPr>
          <w:rFonts w:ascii="Times New Roman" w:hAnsi="Times New Roman" w:cs="Times New Roman"/>
          <w:sz w:val="20"/>
          <w:szCs w:val="20"/>
        </w:rPr>
        <w:t>189.0 km)</w:t>
      </w:r>
    </w:p>
    <w:p w14:paraId="3F28B3F3" w14:textId="64B44472" w:rsidR="00093761" w:rsidRPr="003A4CE1" w:rsidRDefault="00621596" w:rsidP="003A4CE1">
      <w:pPr>
        <w:pStyle w:val="Prrafodelista"/>
        <w:numPr>
          <w:ilvl w:val="1"/>
          <w:numId w:val="8"/>
        </w:numPr>
        <w:ind w:left="720"/>
        <w:jc w:val="both"/>
        <w:rPr>
          <w:rFonts w:ascii="Times New Roman" w:hAnsi="Times New Roman" w:cs="Times New Roman"/>
          <w:sz w:val="20"/>
          <w:szCs w:val="20"/>
        </w:rPr>
      </w:pPr>
      <w:r w:rsidRPr="003A4CE1">
        <w:rPr>
          <w:rFonts w:ascii="Times New Roman" w:hAnsi="Times New Roman" w:cs="Times New Roman"/>
          <w:sz w:val="20"/>
          <w:szCs w:val="20"/>
        </w:rPr>
        <w:t xml:space="preserve">La ruta de: </w:t>
      </w:r>
      <w:r w:rsidR="00614E9E" w:rsidRPr="003A4CE1">
        <w:rPr>
          <w:rFonts w:ascii="Times New Roman" w:hAnsi="Times New Roman" w:cs="Times New Roman"/>
          <w:sz w:val="20"/>
          <w:szCs w:val="20"/>
        </w:rPr>
        <w:t>San Rafael -</w:t>
      </w:r>
      <w:r w:rsidR="003A4CE1" w:rsidRPr="003A4CE1">
        <w:rPr>
          <w:rFonts w:ascii="Times New Roman" w:hAnsi="Times New Roman" w:cs="Times New Roman"/>
          <w:sz w:val="20"/>
          <w:szCs w:val="20"/>
        </w:rPr>
        <w:t>Chiriguaná</w:t>
      </w:r>
      <w:r w:rsidR="00614E9E" w:rsidRPr="003A4CE1">
        <w:rPr>
          <w:rFonts w:ascii="Times New Roman" w:hAnsi="Times New Roman" w:cs="Times New Roman"/>
          <w:sz w:val="20"/>
          <w:szCs w:val="20"/>
        </w:rPr>
        <w:t xml:space="preserve"> </w:t>
      </w:r>
      <w:r w:rsidR="003A4CE1" w:rsidRPr="003A4CE1">
        <w:rPr>
          <w:rFonts w:ascii="Times New Roman" w:hAnsi="Times New Roman" w:cs="Times New Roman"/>
          <w:sz w:val="20"/>
          <w:szCs w:val="20"/>
        </w:rPr>
        <w:t>(205.68</w:t>
      </w:r>
      <w:r w:rsidR="000F1C87" w:rsidRPr="003A4CE1">
        <w:rPr>
          <w:rFonts w:ascii="Times New Roman" w:hAnsi="Times New Roman" w:cs="Times New Roman"/>
          <w:sz w:val="20"/>
          <w:szCs w:val="20"/>
        </w:rPr>
        <w:t xml:space="preserve"> km) </w:t>
      </w:r>
    </w:p>
    <w:p w14:paraId="5081E3F2" w14:textId="41AAA9A1" w:rsidR="00621596" w:rsidRPr="003A4CE1" w:rsidRDefault="00621596" w:rsidP="003A4CE1">
      <w:pPr>
        <w:ind w:left="360"/>
        <w:jc w:val="both"/>
        <w:rPr>
          <w:rFonts w:ascii="Times New Roman" w:hAnsi="Times New Roman" w:cs="Times New Roman"/>
          <w:sz w:val="20"/>
          <w:szCs w:val="20"/>
        </w:rPr>
      </w:pPr>
      <w:r w:rsidRPr="003A4CE1">
        <w:rPr>
          <w:rFonts w:ascii="Times New Roman" w:hAnsi="Times New Roman" w:cs="Times New Roman"/>
          <w:sz w:val="20"/>
          <w:szCs w:val="20"/>
        </w:rPr>
        <w:t xml:space="preserve">Actualmente está siendo administrada también por la Agencia Nacional de Infraestructura. </w:t>
      </w:r>
      <w:r w:rsidR="00AD493C" w:rsidRPr="003A4CE1">
        <w:rPr>
          <w:rFonts w:ascii="Times New Roman" w:hAnsi="Times New Roman" w:cs="Times New Roman"/>
          <w:sz w:val="20"/>
          <w:szCs w:val="20"/>
        </w:rPr>
        <w:t xml:space="preserve">Su estado es activo, es decir actualmente se encuentra en </w:t>
      </w:r>
      <w:r w:rsidR="00BD6042" w:rsidRPr="003A4CE1">
        <w:rPr>
          <w:rFonts w:ascii="Times New Roman" w:hAnsi="Times New Roman" w:cs="Times New Roman"/>
          <w:sz w:val="20"/>
          <w:szCs w:val="20"/>
        </w:rPr>
        <w:t>operación</w:t>
      </w:r>
      <w:r w:rsidR="00AD493C" w:rsidRPr="003A4CE1">
        <w:rPr>
          <w:rFonts w:ascii="Times New Roman" w:hAnsi="Times New Roman" w:cs="Times New Roman"/>
          <w:sz w:val="20"/>
          <w:szCs w:val="20"/>
        </w:rPr>
        <w:t>. El tramo La Dorada-Chiriguaná movilizó 47.860 toneladas de carga en 2019</w:t>
      </w:r>
      <w:r w:rsidR="00BD6042" w:rsidRPr="003A4CE1">
        <w:rPr>
          <w:rFonts w:ascii="Times New Roman" w:hAnsi="Times New Roman" w:cs="Times New Roman"/>
          <w:sz w:val="20"/>
          <w:szCs w:val="20"/>
        </w:rPr>
        <w:t>.</w:t>
      </w:r>
    </w:p>
    <w:p w14:paraId="00000008" w14:textId="77777777" w:rsidR="00E73343" w:rsidRPr="003A4CE1" w:rsidRDefault="00E73343" w:rsidP="003A4CE1">
      <w:pPr>
        <w:jc w:val="both"/>
        <w:rPr>
          <w:rFonts w:ascii="Times New Roman" w:hAnsi="Times New Roman" w:cs="Times New Roman"/>
          <w:sz w:val="20"/>
          <w:szCs w:val="20"/>
        </w:rPr>
      </w:pPr>
    </w:p>
    <w:p w14:paraId="0000000A" w14:textId="0D02CCF7" w:rsidR="00E73343" w:rsidRPr="003A4CE1" w:rsidRDefault="004A3B6D" w:rsidP="003A4CE1">
      <w:pPr>
        <w:jc w:val="both"/>
        <w:rPr>
          <w:rFonts w:ascii="Times New Roman" w:hAnsi="Times New Roman" w:cs="Times New Roman"/>
          <w:b/>
          <w:bCs/>
          <w:sz w:val="20"/>
          <w:szCs w:val="20"/>
        </w:rPr>
      </w:pPr>
      <w:r w:rsidRPr="003A4CE1">
        <w:rPr>
          <w:rFonts w:ascii="Times New Roman" w:hAnsi="Times New Roman" w:cs="Times New Roman"/>
          <w:b/>
          <w:bCs/>
          <w:sz w:val="20"/>
          <w:szCs w:val="20"/>
        </w:rPr>
        <w:t>Datos de trenes:</w:t>
      </w:r>
    </w:p>
    <w:p w14:paraId="0000000B" w14:textId="4AC8FF4D" w:rsidR="00E73343" w:rsidRPr="003A4CE1" w:rsidRDefault="003803FF" w:rsidP="003A4CE1">
      <w:pPr>
        <w:jc w:val="both"/>
        <w:rPr>
          <w:rFonts w:ascii="Times New Roman" w:hAnsi="Times New Roman" w:cs="Times New Roman"/>
          <w:sz w:val="20"/>
          <w:szCs w:val="20"/>
        </w:rPr>
      </w:pPr>
      <w:r w:rsidRPr="003A4CE1">
        <w:rPr>
          <w:rFonts w:ascii="Times New Roman" w:hAnsi="Times New Roman" w:cs="Times New Roman"/>
          <w:sz w:val="20"/>
          <w:szCs w:val="20"/>
        </w:rPr>
        <w:t xml:space="preserve">En los tramos de vía férrea de la nación </w:t>
      </w:r>
      <w:r w:rsidR="004A3B6D" w:rsidRPr="003A4CE1">
        <w:rPr>
          <w:rFonts w:ascii="Times New Roman" w:hAnsi="Times New Roman" w:cs="Times New Roman"/>
          <w:sz w:val="20"/>
          <w:szCs w:val="20"/>
        </w:rPr>
        <w:t xml:space="preserve">se </w:t>
      </w:r>
      <w:r w:rsidR="003A4CE1" w:rsidRPr="003A4CE1">
        <w:rPr>
          <w:rFonts w:ascii="Times New Roman" w:hAnsi="Times New Roman" w:cs="Times New Roman"/>
          <w:sz w:val="20"/>
          <w:szCs w:val="20"/>
        </w:rPr>
        <w:t>movilizan diferentes</w:t>
      </w:r>
      <w:r w:rsidR="004A3B6D" w:rsidRPr="003A4CE1">
        <w:rPr>
          <w:rFonts w:ascii="Times New Roman" w:hAnsi="Times New Roman" w:cs="Times New Roman"/>
          <w:sz w:val="20"/>
          <w:szCs w:val="20"/>
        </w:rPr>
        <w:t xml:space="preserve"> trenes, que tienen características según la materia prima que transportan</w:t>
      </w:r>
      <w:r w:rsidRPr="003A4CE1">
        <w:rPr>
          <w:rFonts w:ascii="Times New Roman" w:hAnsi="Times New Roman" w:cs="Times New Roman"/>
          <w:sz w:val="20"/>
          <w:szCs w:val="20"/>
        </w:rPr>
        <w:t>.</w:t>
      </w:r>
    </w:p>
    <w:p w14:paraId="0000000C" w14:textId="77777777" w:rsidR="00E73343" w:rsidRPr="003A4CE1" w:rsidRDefault="004A3B6D" w:rsidP="003A4CE1">
      <w:pPr>
        <w:numPr>
          <w:ilvl w:val="0"/>
          <w:numId w:val="5"/>
        </w:numPr>
        <w:jc w:val="both"/>
        <w:rPr>
          <w:rFonts w:ascii="Times New Roman" w:hAnsi="Times New Roman" w:cs="Times New Roman"/>
          <w:sz w:val="20"/>
          <w:szCs w:val="20"/>
        </w:rPr>
      </w:pPr>
      <w:r w:rsidRPr="003A4CE1">
        <w:rPr>
          <w:rFonts w:ascii="Times New Roman" w:hAnsi="Times New Roman" w:cs="Times New Roman"/>
          <w:sz w:val="20"/>
          <w:szCs w:val="20"/>
        </w:rPr>
        <w:t>Los modelos utilizados para el transporte de carbón son:</w:t>
      </w:r>
    </w:p>
    <w:p w14:paraId="0000000D" w14:textId="300D847A" w:rsidR="00E73343" w:rsidRPr="003A4CE1" w:rsidRDefault="003A4CE1" w:rsidP="003A4CE1">
      <w:pPr>
        <w:numPr>
          <w:ilvl w:val="0"/>
          <w:numId w:val="3"/>
        </w:numPr>
        <w:jc w:val="both"/>
        <w:rPr>
          <w:rFonts w:ascii="Times New Roman" w:hAnsi="Times New Roman" w:cs="Times New Roman"/>
          <w:sz w:val="20"/>
          <w:szCs w:val="20"/>
        </w:rPr>
      </w:pPr>
      <w:r w:rsidRPr="003A4CE1">
        <w:rPr>
          <w:rFonts w:ascii="Times New Roman" w:hAnsi="Times New Roman" w:cs="Times New Roman"/>
          <w:sz w:val="20"/>
          <w:szCs w:val="20"/>
        </w:rPr>
        <w:t>Drummond</w:t>
      </w:r>
      <w:r w:rsidR="004A3B6D" w:rsidRPr="003A4CE1">
        <w:rPr>
          <w:rFonts w:ascii="Times New Roman" w:hAnsi="Times New Roman" w:cs="Times New Roman"/>
          <w:sz w:val="20"/>
          <w:szCs w:val="20"/>
        </w:rPr>
        <w:t xml:space="preserve">. </w:t>
      </w:r>
      <w:r w:rsidRPr="003A4CE1">
        <w:rPr>
          <w:rFonts w:ascii="Times New Roman" w:hAnsi="Times New Roman" w:cs="Times New Roman"/>
          <w:sz w:val="20"/>
          <w:szCs w:val="20"/>
        </w:rPr>
        <w:t>(cantidad</w:t>
      </w:r>
      <w:r w:rsidR="004A3B6D" w:rsidRPr="003A4CE1">
        <w:rPr>
          <w:rFonts w:ascii="Times New Roman" w:hAnsi="Times New Roman" w:cs="Times New Roman"/>
          <w:sz w:val="20"/>
          <w:szCs w:val="20"/>
        </w:rPr>
        <w:t xml:space="preserve"> de vagones: 150, toneladas de carga/vagón: 50).</w:t>
      </w:r>
    </w:p>
    <w:p w14:paraId="0000000E" w14:textId="77777777" w:rsidR="00E73343" w:rsidRPr="003A4CE1" w:rsidRDefault="004A3B6D" w:rsidP="003A4CE1">
      <w:pPr>
        <w:numPr>
          <w:ilvl w:val="0"/>
          <w:numId w:val="3"/>
        </w:numPr>
        <w:jc w:val="both"/>
        <w:rPr>
          <w:rFonts w:ascii="Times New Roman" w:hAnsi="Times New Roman" w:cs="Times New Roman"/>
          <w:sz w:val="20"/>
          <w:szCs w:val="20"/>
        </w:rPr>
      </w:pPr>
      <w:r w:rsidRPr="003A4CE1">
        <w:rPr>
          <w:rFonts w:ascii="Times New Roman" w:hAnsi="Times New Roman" w:cs="Times New Roman"/>
          <w:sz w:val="20"/>
          <w:szCs w:val="20"/>
        </w:rPr>
        <w:t>Prodeco. (cantidad de vagones: 150, toneladas de carga/vagón: 61).</w:t>
      </w:r>
    </w:p>
    <w:p w14:paraId="0000000F" w14:textId="77777777" w:rsidR="00E73343" w:rsidRPr="003A4CE1" w:rsidRDefault="004A3B6D" w:rsidP="003A4CE1">
      <w:pPr>
        <w:numPr>
          <w:ilvl w:val="0"/>
          <w:numId w:val="3"/>
        </w:numPr>
        <w:jc w:val="both"/>
        <w:rPr>
          <w:rFonts w:ascii="Times New Roman" w:hAnsi="Times New Roman" w:cs="Times New Roman"/>
          <w:sz w:val="20"/>
          <w:szCs w:val="20"/>
        </w:rPr>
      </w:pPr>
      <w:r w:rsidRPr="003A4CE1">
        <w:rPr>
          <w:rFonts w:ascii="Times New Roman" w:hAnsi="Times New Roman" w:cs="Times New Roman"/>
          <w:sz w:val="20"/>
          <w:szCs w:val="20"/>
        </w:rPr>
        <w:t>CNR. (cantidad de vagones: 150, toneladas de carga/vagón: 61).</w:t>
      </w:r>
    </w:p>
    <w:p w14:paraId="00000010" w14:textId="77777777" w:rsidR="00E73343" w:rsidRPr="003A4CE1" w:rsidRDefault="004A3B6D" w:rsidP="003A4CE1">
      <w:pPr>
        <w:numPr>
          <w:ilvl w:val="0"/>
          <w:numId w:val="5"/>
        </w:numPr>
        <w:jc w:val="both"/>
        <w:rPr>
          <w:rFonts w:ascii="Times New Roman" w:hAnsi="Times New Roman" w:cs="Times New Roman"/>
          <w:sz w:val="20"/>
          <w:szCs w:val="20"/>
        </w:rPr>
      </w:pPr>
      <w:r w:rsidRPr="003A4CE1">
        <w:rPr>
          <w:rFonts w:ascii="Times New Roman" w:hAnsi="Times New Roman" w:cs="Times New Roman"/>
          <w:sz w:val="20"/>
          <w:szCs w:val="20"/>
        </w:rPr>
        <w:t xml:space="preserve">El modelo utilizado para el transporte de frutas, vegetales, legumbres es:  </w:t>
      </w:r>
    </w:p>
    <w:p w14:paraId="00000011" w14:textId="1642AA78" w:rsidR="00E73343" w:rsidRPr="003A4CE1" w:rsidRDefault="004A3B6D" w:rsidP="003A4CE1">
      <w:pPr>
        <w:numPr>
          <w:ilvl w:val="0"/>
          <w:numId w:val="6"/>
        </w:numPr>
        <w:jc w:val="both"/>
        <w:rPr>
          <w:rFonts w:ascii="Times New Roman" w:hAnsi="Times New Roman" w:cs="Times New Roman"/>
          <w:sz w:val="20"/>
          <w:szCs w:val="20"/>
        </w:rPr>
      </w:pPr>
      <w:r w:rsidRPr="003A4CE1">
        <w:rPr>
          <w:rFonts w:ascii="Times New Roman" w:hAnsi="Times New Roman" w:cs="Times New Roman"/>
          <w:sz w:val="20"/>
          <w:szCs w:val="20"/>
        </w:rPr>
        <w:t xml:space="preserve">FENOCO. (cantidad de vagones: </w:t>
      </w:r>
      <w:r w:rsidR="5E1AF8CB" w:rsidRPr="003A4CE1">
        <w:rPr>
          <w:rFonts w:ascii="Times New Roman" w:hAnsi="Times New Roman" w:cs="Times New Roman"/>
          <w:sz w:val="20"/>
          <w:szCs w:val="20"/>
        </w:rPr>
        <w:t>45,</w:t>
      </w:r>
      <w:r w:rsidRPr="003A4CE1">
        <w:rPr>
          <w:rFonts w:ascii="Times New Roman" w:hAnsi="Times New Roman" w:cs="Times New Roman"/>
          <w:sz w:val="20"/>
          <w:szCs w:val="20"/>
        </w:rPr>
        <w:t xml:space="preserve"> toneladas de carga/vagón: </w:t>
      </w:r>
      <w:r w:rsidR="03FA056B" w:rsidRPr="003A4CE1">
        <w:rPr>
          <w:rFonts w:ascii="Times New Roman" w:hAnsi="Times New Roman" w:cs="Times New Roman"/>
          <w:sz w:val="20"/>
          <w:szCs w:val="20"/>
        </w:rPr>
        <w:t>29</w:t>
      </w:r>
      <w:r w:rsidRPr="003A4CE1">
        <w:rPr>
          <w:rFonts w:ascii="Times New Roman" w:hAnsi="Times New Roman" w:cs="Times New Roman"/>
          <w:sz w:val="20"/>
          <w:szCs w:val="20"/>
        </w:rPr>
        <w:t>).</w:t>
      </w:r>
    </w:p>
    <w:p w14:paraId="00000012" w14:textId="77777777" w:rsidR="00E73343" w:rsidRPr="003A4CE1" w:rsidRDefault="00E73343" w:rsidP="003A4CE1">
      <w:pPr>
        <w:jc w:val="both"/>
        <w:rPr>
          <w:rFonts w:ascii="Times New Roman" w:hAnsi="Times New Roman" w:cs="Times New Roman"/>
          <w:sz w:val="20"/>
          <w:szCs w:val="20"/>
        </w:rPr>
      </w:pPr>
    </w:p>
    <w:p w14:paraId="00000013" w14:textId="77777777" w:rsidR="00E73343" w:rsidRPr="003A4CE1" w:rsidRDefault="004A3B6D" w:rsidP="003A4CE1">
      <w:pPr>
        <w:jc w:val="both"/>
        <w:rPr>
          <w:rFonts w:ascii="Times New Roman" w:hAnsi="Times New Roman" w:cs="Times New Roman"/>
          <w:b/>
          <w:bCs/>
          <w:sz w:val="20"/>
          <w:szCs w:val="20"/>
        </w:rPr>
      </w:pPr>
      <w:r w:rsidRPr="003A4CE1">
        <w:rPr>
          <w:rFonts w:ascii="Times New Roman" w:hAnsi="Times New Roman" w:cs="Times New Roman"/>
          <w:b/>
          <w:bCs/>
          <w:sz w:val="20"/>
          <w:szCs w:val="20"/>
        </w:rPr>
        <w:t>Datos relevantes de uso de corredores férreos:</w:t>
      </w:r>
    </w:p>
    <w:p w14:paraId="00000014" w14:textId="77777777" w:rsidR="00E73343" w:rsidRPr="003A4CE1" w:rsidRDefault="00E73343" w:rsidP="003A4CE1">
      <w:pPr>
        <w:jc w:val="both"/>
        <w:rPr>
          <w:rFonts w:ascii="Times New Roman" w:hAnsi="Times New Roman" w:cs="Times New Roman"/>
          <w:sz w:val="20"/>
          <w:szCs w:val="20"/>
        </w:rPr>
      </w:pPr>
    </w:p>
    <w:p w14:paraId="00000015" w14:textId="77777777" w:rsidR="00E73343" w:rsidRPr="003A4CE1" w:rsidRDefault="004A3B6D" w:rsidP="003A4CE1">
      <w:pPr>
        <w:numPr>
          <w:ilvl w:val="0"/>
          <w:numId w:val="4"/>
        </w:numPr>
        <w:jc w:val="both"/>
        <w:rPr>
          <w:rFonts w:ascii="Times New Roman" w:hAnsi="Times New Roman" w:cs="Times New Roman"/>
          <w:sz w:val="20"/>
          <w:szCs w:val="20"/>
        </w:rPr>
      </w:pPr>
      <w:r w:rsidRPr="003A4CE1">
        <w:rPr>
          <w:rFonts w:ascii="Times New Roman" w:hAnsi="Times New Roman" w:cs="Times New Roman"/>
          <w:sz w:val="20"/>
          <w:szCs w:val="20"/>
        </w:rPr>
        <w:t xml:space="preserve">El pasado 21 de agosto del año 2020 en horas de la madrugada un tren de carga que importaba materia prima para la elaboración de papel y cerámica partió desde el puerto de Santa Marta, y fue movilizada en 39 contenedores llevando en total 935 toneladas haciendo uso del corredor del atlántico. </w:t>
      </w:r>
    </w:p>
    <w:p w14:paraId="00000016" w14:textId="44CF9C75" w:rsidR="00E73343" w:rsidRDefault="004A3B6D" w:rsidP="003A4CE1">
      <w:pPr>
        <w:numPr>
          <w:ilvl w:val="0"/>
          <w:numId w:val="4"/>
        </w:numPr>
        <w:jc w:val="both"/>
        <w:rPr>
          <w:rFonts w:ascii="Times New Roman" w:hAnsi="Times New Roman" w:cs="Times New Roman"/>
          <w:sz w:val="20"/>
          <w:szCs w:val="20"/>
        </w:rPr>
      </w:pPr>
      <w:r w:rsidRPr="003A4CE1">
        <w:rPr>
          <w:rFonts w:ascii="Times New Roman" w:hAnsi="Times New Roman" w:cs="Times New Roman"/>
          <w:sz w:val="20"/>
          <w:szCs w:val="20"/>
        </w:rPr>
        <w:t xml:space="preserve">Dos días después, el 23 de agosto del pasado año, se logró llevar carga para exportar producto terminado de papel desde La dorada, Caldas por todo el corredor hasta el puerto de Santa Marta, movilizando así un total de 39 plataformas con un peso total de 370 toneladas </w:t>
      </w:r>
    </w:p>
    <w:p w14:paraId="6BB1FCBC" w14:textId="77777777" w:rsidR="003A4CE1" w:rsidRPr="003A4CE1" w:rsidRDefault="003A4CE1" w:rsidP="003A4CE1">
      <w:pPr>
        <w:jc w:val="both"/>
        <w:rPr>
          <w:rFonts w:ascii="Times New Roman" w:hAnsi="Times New Roman" w:cs="Times New Roman"/>
          <w:sz w:val="20"/>
          <w:szCs w:val="20"/>
        </w:rPr>
      </w:pPr>
    </w:p>
    <w:p w14:paraId="00000017" w14:textId="26399609" w:rsidR="00E73343" w:rsidRPr="003A4CE1" w:rsidRDefault="004A3B6D" w:rsidP="003A4CE1">
      <w:pPr>
        <w:jc w:val="both"/>
        <w:rPr>
          <w:rFonts w:ascii="Times New Roman" w:hAnsi="Times New Roman" w:cs="Times New Roman"/>
          <w:sz w:val="20"/>
          <w:szCs w:val="20"/>
        </w:rPr>
      </w:pPr>
      <w:r w:rsidRPr="003A4CE1">
        <w:rPr>
          <w:rFonts w:ascii="Times New Roman" w:hAnsi="Times New Roman" w:cs="Times New Roman"/>
          <w:sz w:val="20"/>
          <w:szCs w:val="20"/>
        </w:rPr>
        <w:t>“</w:t>
      </w:r>
      <w:r w:rsidRPr="003A4CE1">
        <w:rPr>
          <w:rFonts w:ascii="Times New Roman" w:hAnsi="Times New Roman" w:cs="Times New Roman"/>
          <w:i/>
          <w:sz w:val="20"/>
          <w:szCs w:val="20"/>
        </w:rPr>
        <w:t>El impulso que le da el Gobierno nacional a este modo de transporte y al multimodalismo busca generar además de mayores posibilidades para la movilización eficiente de carga en el país, competitividad para los diferentes sectores, generación de empleo en las regiones de influencia de los corredores y más alternativas para la conectividad</w:t>
      </w:r>
      <w:r w:rsidRPr="003A4CE1">
        <w:rPr>
          <w:rFonts w:ascii="Times New Roman" w:hAnsi="Times New Roman" w:cs="Times New Roman"/>
          <w:sz w:val="20"/>
          <w:szCs w:val="20"/>
        </w:rPr>
        <w:t>”, destacó, la Ministra de Transporte, Ángela María Orozco. [2]</w:t>
      </w:r>
    </w:p>
    <w:p w14:paraId="70E2CBCA" w14:textId="47B10017" w:rsidR="00E1154B" w:rsidRPr="003A4CE1" w:rsidRDefault="00E1154B" w:rsidP="003A4CE1">
      <w:pPr>
        <w:jc w:val="both"/>
        <w:rPr>
          <w:rFonts w:ascii="Times New Roman" w:hAnsi="Times New Roman" w:cs="Times New Roman"/>
          <w:sz w:val="20"/>
          <w:szCs w:val="20"/>
        </w:rPr>
      </w:pPr>
    </w:p>
    <w:p w14:paraId="5CB8A32D" w14:textId="4B6F9315" w:rsidR="00E1154B" w:rsidRPr="003A4CE1" w:rsidRDefault="00E1154B" w:rsidP="003A4CE1">
      <w:pPr>
        <w:jc w:val="both"/>
        <w:rPr>
          <w:rFonts w:ascii="Times New Roman" w:hAnsi="Times New Roman" w:cs="Times New Roman"/>
          <w:sz w:val="20"/>
          <w:szCs w:val="20"/>
        </w:rPr>
      </w:pPr>
      <w:r w:rsidRPr="003A4CE1">
        <w:rPr>
          <w:rFonts w:ascii="Times New Roman" w:hAnsi="Times New Roman" w:cs="Times New Roman"/>
          <w:noProof/>
          <w:sz w:val="20"/>
          <w:szCs w:val="20"/>
        </w:rPr>
        <w:drawing>
          <wp:anchor distT="0" distB="0" distL="114300" distR="114300" simplePos="0" relativeHeight="251658240" behindDoc="0" locked="0" layoutInCell="1" allowOverlap="1" wp14:anchorId="4410FCF7" wp14:editId="502FCDE2">
            <wp:simplePos x="0" y="0"/>
            <wp:positionH relativeFrom="column">
              <wp:posOffset>694055</wp:posOffset>
            </wp:positionH>
            <wp:positionV relativeFrom="paragraph">
              <wp:posOffset>189865</wp:posOffset>
            </wp:positionV>
            <wp:extent cx="4521200" cy="5156200"/>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val="0"/>
                        </a:ext>
                      </a:extLst>
                    </a:blip>
                    <a:stretch>
                      <a:fillRect/>
                    </a:stretch>
                  </pic:blipFill>
                  <pic:spPr>
                    <a:xfrm>
                      <a:off x="0" y="0"/>
                      <a:ext cx="4521200" cy="5156200"/>
                    </a:xfrm>
                    <a:prstGeom prst="rect">
                      <a:avLst/>
                    </a:prstGeom>
                  </pic:spPr>
                </pic:pic>
              </a:graphicData>
            </a:graphic>
          </wp:anchor>
        </w:drawing>
      </w:r>
    </w:p>
    <w:p w14:paraId="2DBB749E" w14:textId="3541727E" w:rsidR="00E1154B" w:rsidRPr="003A4CE1" w:rsidRDefault="0036728B" w:rsidP="003A4CE1">
      <w:pPr>
        <w:ind w:left="720"/>
        <w:jc w:val="center"/>
        <w:rPr>
          <w:rFonts w:ascii="Times New Roman" w:hAnsi="Times New Roman" w:cs="Times New Roman"/>
          <w:i/>
          <w:iCs/>
          <w:sz w:val="20"/>
          <w:szCs w:val="20"/>
        </w:rPr>
      </w:pPr>
      <w:r w:rsidRPr="003A4CE1">
        <w:rPr>
          <w:rFonts w:ascii="Times New Roman" w:hAnsi="Times New Roman" w:cs="Times New Roman"/>
          <w:i/>
          <w:iCs/>
          <w:sz w:val="20"/>
          <w:szCs w:val="20"/>
        </w:rPr>
        <w:t xml:space="preserve">Fig. 1. </w:t>
      </w:r>
      <w:r w:rsidR="00993728" w:rsidRPr="003A4CE1">
        <w:rPr>
          <w:rFonts w:ascii="Times New Roman" w:hAnsi="Times New Roman" w:cs="Times New Roman"/>
          <w:i/>
          <w:iCs/>
          <w:sz w:val="20"/>
          <w:szCs w:val="20"/>
        </w:rPr>
        <w:t xml:space="preserve">Red </w:t>
      </w:r>
      <w:r w:rsidR="003A4CE1" w:rsidRPr="003A4CE1">
        <w:rPr>
          <w:rFonts w:ascii="Times New Roman" w:hAnsi="Times New Roman" w:cs="Times New Roman"/>
          <w:i/>
          <w:iCs/>
          <w:sz w:val="20"/>
          <w:szCs w:val="20"/>
        </w:rPr>
        <w:t>férrea</w:t>
      </w:r>
      <w:r w:rsidR="00993728" w:rsidRPr="003A4CE1">
        <w:rPr>
          <w:rFonts w:ascii="Times New Roman" w:hAnsi="Times New Roman" w:cs="Times New Roman"/>
          <w:i/>
          <w:iCs/>
          <w:sz w:val="20"/>
          <w:szCs w:val="20"/>
        </w:rPr>
        <w:t xml:space="preserve"> </w:t>
      </w:r>
      <w:r w:rsidR="003A4CE1" w:rsidRPr="003A4CE1">
        <w:rPr>
          <w:rFonts w:ascii="Times New Roman" w:hAnsi="Times New Roman" w:cs="Times New Roman"/>
          <w:i/>
          <w:iCs/>
          <w:sz w:val="20"/>
          <w:szCs w:val="20"/>
        </w:rPr>
        <w:t>Nacional [</w:t>
      </w:r>
      <w:r w:rsidRPr="003A4CE1">
        <w:rPr>
          <w:rFonts w:ascii="Times New Roman" w:hAnsi="Times New Roman" w:cs="Times New Roman"/>
          <w:i/>
          <w:iCs/>
          <w:sz w:val="20"/>
          <w:szCs w:val="20"/>
        </w:rPr>
        <w:t>1]</w:t>
      </w:r>
    </w:p>
    <w:p w14:paraId="37C7A7EB" w14:textId="77777777" w:rsidR="00E1154B" w:rsidRPr="003A4CE1" w:rsidRDefault="00E1154B" w:rsidP="003A4CE1">
      <w:pPr>
        <w:ind w:left="720"/>
        <w:jc w:val="both"/>
        <w:rPr>
          <w:rFonts w:ascii="Times New Roman" w:hAnsi="Times New Roman" w:cs="Times New Roman"/>
          <w:sz w:val="20"/>
          <w:szCs w:val="20"/>
        </w:rPr>
      </w:pPr>
    </w:p>
    <w:p w14:paraId="5F150516" w14:textId="77777777" w:rsidR="003A4CE1" w:rsidRDefault="003A4CE1" w:rsidP="003A4CE1">
      <w:pPr>
        <w:jc w:val="both"/>
        <w:rPr>
          <w:rFonts w:ascii="Times New Roman" w:hAnsi="Times New Roman" w:cs="Times New Roman"/>
          <w:color w:val="000000" w:themeColor="text1"/>
          <w:sz w:val="20"/>
          <w:szCs w:val="20"/>
        </w:rPr>
      </w:pPr>
    </w:p>
    <w:p w14:paraId="00000018" w14:textId="0FA8F03D" w:rsidR="00E73343" w:rsidRPr="003A4CE1" w:rsidRDefault="00391F5C" w:rsidP="003A4CE1">
      <w:pPr>
        <w:jc w:val="both"/>
        <w:rPr>
          <w:rFonts w:ascii="Times New Roman" w:hAnsi="Times New Roman" w:cs="Times New Roman"/>
          <w:color w:val="000000" w:themeColor="text1"/>
          <w:sz w:val="20"/>
          <w:szCs w:val="20"/>
        </w:rPr>
      </w:pPr>
      <w:r w:rsidRPr="003A4CE1">
        <w:rPr>
          <w:rFonts w:ascii="Times New Roman" w:hAnsi="Times New Roman" w:cs="Times New Roman"/>
          <w:color w:val="000000" w:themeColor="text1"/>
          <w:sz w:val="20"/>
          <w:szCs w:val="20"/>
        </w:rPr>
        <w:t>[1]</w:t>
      </w:r>
      <w:r w:rsidR="003A4CE1">
        <w:rPr>
          <w:rFonts w:ascii="Times New Roman" w:hAnsi="Times New Roman" w:cs="Times New Roman"/>
          <w:color w:val="000000" w:themeColor="text1"/>
          <w:sz w:val="20"/>
          <w:szCs w:val="20"/>
        </w:rPr>
        <w:t xml:space="preserve"> </w:t>
      </w:r>
      <w:r w:rsidR="001A254D" w:rsidRPr="003A4CE1">
        <w:rPr>
          <w:rFonts w:ascii="Times New Roman" w:hAnsi="Times New Roman" w:cs="Times New Roman"/>
          <w:color w:val="000000" w:themeColor="text1"/>
          <w:sz w:val="20"/>
          <w:szCs w:val="20"/>
        </w:rPr>
        <w:t xml:space="preserve">Plan maestro </w:t>
      </w:r>
      <w:r w:rsidR="003A4CE1" w:rsidRPr="003A4CE1">
        <w:rPr>
          <w:rFonts w:ascii="Times New Roman" w:hAnsi="Times New Roman" w:cs="Times New Roman"/>
          <w:color w:val="000000" w:themeColor="text1"/>
          <w:sz w:val="20"/>
          <w:szCs w:val="20"/>
        </w:rPr>
        <w:t xml:space="preserve">Ferroviario, </w:t>
      </w:r>
      <w:r w:rsidR="003A4CE1" w:rsidRPr="003A4CE1">
        <w:rPr>
          <w:rFonts w:ascii="Times New Roman" w:hAnsi="Times New Roman" w:cs="Times New Roman"/>
          <w:sz w:val="20"/>
          <w:szCs w:val="20"/>
        </w:rPr>
        <w:t>2020</w:t>
      </w:r>
      <w:r w:rsidR="003F1026" w:rsidRPr="003A4CE1">
        <w:rPr>
          <w:rFonts w:ascii="Times New Roman" w:hAnsi="Times New Roman" w:cs="Times New Roman"/>
          <w:color w:val="000000" w:themeColor="text1"/>
          <w:sz w:val="20"/>
          <w:szCs w:val="20"/>
        </w:rPr>
        <w:t xml:space="preserve">. [En </w:t>
      </w:r>
      <w:r w:rsidR="003A4CE1" w:rsidRPr="003A4CE1">
        <w:rPr>
          <w:rFonts w:ascii="Times New Roman" w:hAnsi="Times New Roman" w:cs="Times New Roman"/>
          <w:color w:val="000000" w:themeColor="text1"/>
          <w:sz w:val="20"/>
          <w:szCs w:val="20"/>
        </w:rPr>
        <w:t>línea</w:t>
      </w:r>
      <w:r w:rsidR="003F1026" w:rsidRPr="003A4CE1">
        <w:rPr>
          <w:rFonts w:ascii="Times New Roman" w:hAnsi="Times New Roman" w:cs="Times New Roman"/>
          <w:color w:val="000000" w:themeColor="text1"/>
          <w:sz w:val="20"/>
          <w:szCs w:val="20"/>
        </w:rPr>
        <w:t xml:space="preserve">] Disponible: </w:t>
      </w:r>
      <w:r w:rsidRPr="003A4CE1">
        <w:rPr>
          <w:rFonts w:ascii="Times New Roman" w:hAnsi="Times New Roman" w:cs="Times New Roman"/>
          <w:color w:val="000000" w:themeColor="text1"/>
          <w:sz w:val="20"/>
          <w:szCs w:val="20"/>
        </w:rPr>
        <w:t xml:space="preserve"> </w:t>
      </w:r>
      <w:hyperlink r:id="rId9" w:history="1">
        <w:r w:rsidR="003F1026" w:rsidRPr="003A4CE1">
          <w:rPr>
            <w:rStyle w:val="Hipervnculo"/>
            <w:rFonts w:ascii="Times New Roman" w:hAnsi="Times New Roman" w:cs="Times New Roman"/>
            <w:color w:val="000000" w:themeColor="text1"/>
            <w:sz w:val="20"/>
            <w:szCs w:val="20"/>
            <w:u w:val="none"/>
          </w:rPr>
          <w:t>https://colaboracion.dnp.gov.co/CDT/Prensa/Plan-Maestro-Ferroviario.pdf</w:t>
        </w:r>
      </w:hyperlink>
    </w:p>
    <w:p w14:paraId="75BD925F" w14:textId="14BD75EC" w:rsidR="00391F5C" w:rsidRPr="003A4CE1" w:rsidRDefault="003F1026" w:rsidP="003A4CE1">
      <w:pPr>
        <w:pStyle w:val="Ttulo1"/>
        <w:spacing w:before="0" w:after="0"/>
        <w:jc w:val="both"/>
        <w:divId w:val="853611902"/>
        <w:rPr>
          <w:rFonts w:ascii="Times New Roman" w:eastAsia="Times New Roman" w:hAnsi="Times New Roman" w:cs="Times New Roman"/>
          <w:color w:val="000000" w:themeColor="text1"/>
          <w:kern w:val="36"/>
          <w:sz w:val="20"/>
          <w:szCs w:val="20"/>
          <w:lang w:val="es-CO"/>
        </w:rPr>
      </w:pPr>
      <w:r w:rsidRPr="003A4CE1">
        <w:rPr>
          <w:rFonts w:ascii="Times New Roman" w:hAnsi="Times New Roman" w:cs="Times New Roman"/>
          <w:color w:val="000000" w:themeColor="text1"/>
          <w:sz w:val="20"/>
          <w:szCs w:val="20"/>
        </w:rPr>
        <w:t>[2]</w:t>
      </w:r>
      <w:r w:rsidR="003A4CE1">
        <w:rPr>
          <w:rFonts w:ascii="Times New Roman" w:hAnsi="Times New Roman" w:cs="Times New Roman"/>
          <w:color w:val="000000" w:themeColor="text1"/>
          <w:sz w:val="20"/>
          <w:szCs w:val="20"/>
        </w:rPr>
        <w:t xml:space="preserve"> </w:t>
      </w:r>
      <w:r w:rsidR="003A4CE1" w:rsidRPr="003A4CE1">
        <w:rPr>
          <w:rFonts w:ascii="Times New Roman" w:hAnsi="Times New Roman" w:cs="Times New Roman"/>
          <w:color w:val="000000" w:themeColor="text1"/>
          <w:sz w:val="20"/>
          <w:szCs w:val="20"/>
        </w:rPr>
        <w:t>García</w:t>
      </w:r>
      <w:r w:rsidR="009353CB" w:rsidRPr="003A4CE1">
        <w:rPr>
          <w:rFonts w:ascii="Times New Roman" w:hAnsi="Times New Roman" w:cs="Times New Roman"/>
          <w:color w:val="000000" w:themeColor="text1"/>
          <w:sz w:val="20"/>
          <w:szCs w:val="20"/>
        </w:rPr>
        <w:t xml:space="preserve"> C</w:t>
      </w:r>
      <w:r w:rsidR="0043294F" w:rsidRPr="003A4CE1">
        <w:rPr>
          <w:rFonts w:ascii="Times New Roman" w:hAnsi="Times New Roman" w:cs="Times New Roman"/>
          <w:color w:val="000000" w:themeColor="text1"/>
          <w:sz w:val="20"/>
          <w:szCs w:val="20"/>
        </w:rPr>
        <w:t>,</w:t>
      </w:r>
      <w:r w:rsidR="00CC0D34" w:rsidRPr="003A4CE1">
        <w:rPr>
          <w:rFonts w:ascii="Times New Roman" w:hAnsi="Times New Roman" w:cs="Times New Roman"/>
          <w:color w:val="000000" w:themeColor="text1"/>
          <w:sz w:val="20"/>
          <w:szCs w:val="20"/>
        </w:rPr>
        <w:t>”</w:t>
      </w:r>
      <w:r w:rsidR="0043294F" w:rsidRPr="003A4CE1">
        <w:rPr>
          <w:rFonts w:ascii="Times New Roman" w:hAnsi="Times New Roman" w:cs="Times New Roman"/>
          <w:color w:val="000000" w:themeColor="text1"/>
          <w:sz w:val="20"/>
          <w:szCs w:val="20"/>
        </w:rPr>
        <w:t xml:space="preserve"> </w:t>
      </w:r>
      <w:r w:rsidR="00CC0D34" w:rsidRPr="003A4CE1">
        <w:rPr>
          <w:rFonts w:ascii="Times New Roman" w:eastAsia="Times New Roman" w:hAnsi="Times New Roman" w:cs="Times New Roman"/>
          <w:color w:val="000000" w:themeColor="text1"/>
          <w:kern w:val="36"/>
          <w:sz w:val="20"/>
          <w:szCs w:val="20"/>
          <w:lang w:val="es-CO"/>
        </w:rPr>
        <w:t>Gobierno Nacional marca hito en transporte férreo al movilizar simultáneamente 1.305 toneladas de carga”</w:t>
      </w:r>
      <w:r w:rsidR="00B66CAE" w:rsidRPr="003A4CE1">
        <w:rPr>
          <w:rFonts w:ascii="Times New Roman" w:eastAsia="Times New Roman" w:hAnsi="Times New Roman" w:cs="Times New Roman"/>
          <w:color w:val="000000" w:themeColor="text1"/>
          <w:kern w:val="36"/>
          <w:sz w:val="20"/>
          <w:szCs w:val="20"/>
          <w:lang w:val="es-CO"/>
        </w:rPr>
        <w:t xml:space="preserve">, </w:t>
      </w:r>
      <w:r w:rsidR="0043294F" w:rsidRPr="003A4CE1">
        <w:rPr>
          <w:rFonts w:ascii="Times New Roman" w:hAnsi="Times New Roman" w:cs="Times New Roman"/>
          <w:color w:val="000000" w:themeColor="text1"/>
          <w:sz w:val="20"/>
          <w:szCs w:val="20"/>
        </w:rPr>
        <w:t>2020</w:t>
      </w:r>
      <w:r w:rsidR="00B66CAE" w:rsidRPr="003A4CE1">
        <w:rPr>
          <w:rFonts w:ascii="Times New Roman" w:hAnsi="Times New Roman" w:cs="Times New Roman"/>
          <w:color w:val="000000" w:themeColor="text1"/>
          <w:sz w:val="20"/>
          <w:szCs w:val="20"/>
        </w:rPr>
        <w:t xml:space="preserve">. [En </w:t>
      </w:r>
      <w:r w:rsidR="003A4CE1" w:rsidRPr="003A4CE1">
        <w:rPr>
          <w:rFonts w:ascii="Times New Roman" w:hAnsi="Times New Roman" w:cs="Times New Roman"/>
          <w:color w:val="000000" w:themeColor="text1"/>
          <w:sz w:val="20"/>
          <w:szCs w:val="20"/>
        </w:rPr>
        <w:t>línea</w:t>
      </w:r>
      <w:r w:rsidR="00B66CAE" w:rsidRPr="003A4CE1">
        <w:rPr>
          <w:rFonts w:ascii="Times New Roman" w:hAnsi="Times New Roman" w:cs="Times New Roman"/>
          <w:color w:val="000000" w:themeColor="text1"/>
          <w:sz w:val="20"/>
          <w:szCs w:val="20"/>
        </w:rPr>
        <w:t xml:space="preserve">] Disponible: </w:t>
      </w:r>
      <w:hyperlink r:id="rId10" w:history="1">
        <w:r w:rsidR="00EB6408" w:rsidRPr="003A4CE1">
          <w:rPr>
            <w:rStyle w:val="Hipervnculo"/>
            <w:rFonts w:ascii="Times New Roman" w:hAnsi="Times New Roman" w:cs="Times New Roman"/>
            <w:color w:val="000000" w:themeColor="text1"/>
            <w:sz w:val="20"/>
            <w:szCs w:val="20"/>
            <w:u w:val="none"/>
          </w:rPr>
          <w:t>https://mintransporte.gov.co/publicaciones/8922/gobierno-nacional-marca-hito-en-transporte-ferreo-al-movilizar-simultaneamente-1305-toneladas-de-carga/</w:t>
        </w:r>
      </w:hyperlink>
    </w:p>
    <w:p w14:paraId="4E53CA89" w14:textId="77777777" w:rsidR="00B90CCD" w:rsidRPr="003A4CE1" w:rsidRDefault="00391F5C" w:rsidP="003A4CE1">
      <w:pPr>
        <w:jc w:val="both"/>
        <w:rPr>
          <w:rFonts w:ascii="Times New Roman" w:hAnsi="Times New Roman" w:cs="Times New Roman"/>
          <w:sz w:val="20"/>
          <w:szCs w:val="20"/>
        </w:rPr>
      </w:pPr>
      <w:r w:rsidRPr="003A4CE1">
        <w:rPr>
          <w:rFonts w:ascii="Times New Roman" w:hAnsi="Times New Roman" w:cs="Times New Roman"/>
          <w:sz w:val="20"/>
          <w:szCs w:val="20"/>
        </w:rPr>
        <w:t xml:space="preserve">  </w:t>
      </w:r>
    </w:p>
    <w:p w14:paraId="4A9528F9" w14:textId="11964EA5" w:rsidR="00391F5C" w:rsidRPr="003A4CE1" w:rsidRDefault="00391F5C" w:rsidP="003A4CE1">
      <w:pPr>
        <w:jc w:val="both"/>
        <w:rPr>
          <w:rFonts w:ascii="Times New Roman" w:hAnsi="Times New Roman" w:cs="Times New Roman"/>
          <w:sz w:val="20"/>
          <w:szCs w:val="20"/>
        </w:rPr>
      </w:pPr>
      <w:r w:rsidRPr="003A4CE1">
        <w:rPr>
          <w:rFonts w:ascii="Times New Roman" w:hAnsi="Times New Roman" w:cs="Times New Roman"/>
          <w:sz w:val="20"/>
          <w:szCs w:val="20"/>
        </w:rPr>
        <w:t xml:space="preserve"> </w:t>
      </w:r>
    </w:p>
    <w:sectPr w:rsidR="00391F5C" w:rsidRPr="003A4CE1">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69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CD5693"/>
    <w:multiLevelType w:val="hybridMultilevel"/>
    <w:tmpl w:val="F9C815F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15:restartNumberingAfterBreak="0">
    <w:nsid w:val="1F9E235D"/>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4932309"/>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A7E3A8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F060EC6"/>
    <w:multiLevelType w:val="hybridMultilevel"/>
    <w:tmpl w:val="CE7ACE32"/>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02A4502"/>
    <w:multiLevelType w:val="hybridMultilevel"/>
    <w:tmpl w:val="613221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CAA5EF9"/>
    <w:multiLevelType w:val="hybridMultilevel"/>
    <w:tmpl w:val="753E37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509120A"/>
    <w:multiLevelType w:val="hybridMultilevel"/>
    <w:tmpl w:val="99AA83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390EE0"/>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62A219D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9"/>
  </w:num>
  <w:num w:numId="4">
    <w:abstractNumId w:val="10"/>
  </w:num>
  <w:num w:numId="5">
    <w:abstractNumId w:val="4"/>
  </w:num>
  <w:num w:numId="6">
    <w:abstractNumId w:val="3"/>
  </w:num>
  <w:num w:numId="7">
    <w:abstractNumId w:val="1"/>
  </w:num>
  <w:num w:numId="8">
    <w:abstractNumId w:val="5"/>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343"/>
    <w:rsid w:val="0007750D"/>
    <w:rsid w:val="00093761"/>
    <w:rsid w:val="000E2650"/>
    <w:rsid w:val="000F1C87"/>
    <w:rsid w:val="00113D50"/>
    <w:rsid w:val="00160A34"/>
    <w:rsid w:val="00165EEA"/>
    <w:rsid w:val="001A254D"/>
    <w:rsid w:val="001C0026"/>
    <w:rsid w:val="001D0E40"/>
    <w:rsid w:val="0026468C"/>
    <w:rsid w:val="00330504"/>
    <w:rsid w:val="00340882"/>
    <w:rsid w:val="003578AE"/>
    <w:rsid w:val="00366F17"/>
    <w:rsid w:val="0036728B"/>
    <w:rsid w:val="003803FF"/>
    <w:rsid w:val="00385BF1"/>
    <w:rsid w:val="00391F5C"/>
    <w:rsid w:val="003A4CE1"/>
    <w:rsid w:val="003C7229"/>
    <w:rsid w:val="003D0DB8"/>
    <w:rsid w:val="003F1026"/>
    <w:rsid w:val="00423931"/>
    <w:rsid w:val="0043294F"/>
    <w:rsid w:val="004A3B6D"/>
    <w:rsid w:val="00534AD7"/>
    <w:rsid w:val="00595950"/>
    <w:rsid w:val="00614E9E"/>
    <w:rsid w:val="00621596"/>
    <w:rsid w:val="00654E92"/>
    <w:rsid w:val="00846AB1"/>
    <w:rsid w:val="00848A14"/>
    <w:rsid w:val="008D59F3"/>
    <w:rsid w:val="009353CB"/>
    <w:rsid w:val="009935FD"/>
    <w:rsid w:val="00993728"/>
    <w:rsid w:val="009A518C"/>
    <w:rsid w:val="009C5DD0"/>
    <w:rsid w:val="00AD493C"/>
    <w:rsid w:val="00B37344"/>
    <w:rsid w:val="00B66CAE"/>
    <w:rsid w:val="00B90CCD"/>
    <w:rsid w:val="00BB7A05"/>
    <w:rsid w:val="00BD6042"/>
    <w:rsid w:val="00BE3017"/>
    <w:rsid w:val="00C0625E"/>
    <w:rsid w:val="00CC0D34"/>
    <w:rsid w:val="00D85E92"/>
    <w:rsid w:val="00E1154B"/>
    <w:rsid w:val="00E73343"/>
    <w:rsid w:val="00EB6408"/>
    <w:rsid w:val="00ED56AF"/>
    <w:rsid w:val="00F40042"/>
    <w:rsid w:val="00F53BB3"/>
    <w:rsid w:val="00F92005"/>
    <w:rsid w:val="00FA1A67"/>
    <w:rsid w:val="00FE66E6"/>
    <w:rsid w:val="03FA056B"/>
    <w:rsid w:val="5E1AF8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BDFF4"/>
  <w15:docId w15:val="{32ED9B58-3F30-F84D-B686-CB88AFA0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character" w:styleId="Hipervnculo">
    <w:name w:val="Hyperlink"/>
    <w:basedOn w:val="Fuentedeprrafopredeter"/>
    <w:uiPriority w:val="99"/>
    <w:unhideWhenUsed/>
    <w:rsid w:val="00E1154B"/>
    <w:rPr>
      <w:color w:val="0000FF" w:themeColor="hyperlink"/>
      <w:u w:val="single"/>
    </w:rPr>
  </w:style>
  <w:style w:type="character" w:styleId="Mencinsinresolver">
    <w:name w:val="Unresolved Mention"/>
    <w:basedOn w:val="Fuentedeprrafopredeter"/>
    <w:uiPriority w:val="99"/>
    <w:semiHidden/>
    <w:unhideWhenUsed/>
    <w:rsid w:val="00E1154B"/>
    <w:rPr>
      <w:color w:val="605E5C"/>
      <w:shd w:val="clear" w:color="auto" w:fill="E1DFDD"/>
    </w:rPr>
  </w:style>
  <w:style w:type="character" w:styleId="Hipervnculovisitado">
    <w:name w:val="FollowedHyperlink"/>
    <w:basedOn w:val="Fuentedeprrafopredeter"/>
    <w:uiPriority w:val="99"/>
    <w:semiHidden/>
    <w:unhideWhenUsed/>
    <w:rsid w:val="00993728"/>
    <w:rPr>
      <w:color w:val="800080" w:themeColor="followedHyperlink"/>
      <w:u w:val="single"/>
    </w:rPr>
  </w:style>
  <w:style w:type="paragraph" w:styleId="Prrafodelista">
    <w:name w:val="List Paragraph"/>
    <w:basedOn w:val="Normal"/>
    <w:uiPriority w:val="34"/>
    <w:qFormat/>
    <w:rsid w:val="00993728"/>
    <w:pPr>
      <w:ind w:left="720"/>
      <w:contextualSpacing/>
    </w:pPr>
  </w:style>
  <w:style w:type="character" w:customStyle="1" w:styleId="Ttulo1Car">
    <w:name w:val="Título 1 Car"/>
    <w:basedOn w:val="Fuentedeprrafopredeter"/>
    <w:link w:val="Ttulo1"/>
    <w:uiPriority w:val="9"/>
    <w:rsid w:val="00CC0D34"/>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611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mintransporte.gov.co/publicaciones/8922/gobierno-nacional-marca-hito-en-transporte-ferreo-al-movilizar-simultaneamente-1305-toneladas-de-carga/" TargetMode="External"/><Relationship Id="rId4" Type="http://schemas.openxmlformats.org/officeDocument/2006/relationships/numbering" Target="numbering.xml"/><Relationship Id="rId9" Type="http://schemas.openxmlformats.org/officeDocument/2006/relationships/hyperlink" Target="https://colaboracion.dnp.gov.co/CDT/Prensa/Plan-Maestro-Ferroviari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FE22464FC7F34EA204C9CCD96CEE18" ma:contentTypeVersion="4" ma:contentTypeDescription="Create a new document." ma:contentTypeScope="" ma:versionID="55949a2a081f2e2e35ec823147743f0c">
  <xsd:schema xmlns:xsd="http://www.w3.org/2001/XMLSchema" xmlns:xs="http://www.w3.org/2001/XMLSchema" xmlns:p="http://schemas.microsoft.com/office/2006/metadata/properties" xmlns:ns2="f0cef383-27ec-447a-9a1a-7135635fecf8" targetNamespace="http://schemas.microsoft.com/office/2006/metadata/properties" ma:root="true" ma:fieldsID="e41a2c731ba453d11374592f843de899"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8498F-695D-46CE-89B6-3DB0A8A79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AD62A0-EBEF-4BA4-BD95-EADC2552A3D9}">
  <ds:schemaRefs>
    <ds:schemaRef ds:uri="http://schemas.microsoft.com/sharepoint/v3/contenttype/forms"/>
  </ds:schemaRefs>
</ds:datastoreItem>
</file>

<file path=customXml/itemProps3.xml><?xml version="1.0" encoding="utf-8"?>
<ds:datastoreItem xmlns:ds="http://schemas.openxmlformats.org/officeDocument/2006/customXml" ds:itemID="{B28911E3-C26B-4A2D-8025-E97D6D8F4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ef383-27ec-447a-9a1a-7135635f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624</Words>
  <Characters>3438</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Francisco Javier Estrella Oliva</cp:lastModifiedBy>
  <cp:revision>5</cp:revision>
  <dcterms:created xsi:type="dcterms:W3CDTF">2021-05-04T01:38:00Z</dcterms:created>
  <dcterms:modified xsi:type="dcterms:W3CDTF">2021-05-21T04:24:00Z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